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 Around 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2, 5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LS: 2, 5, 6, 8    SM: 1   SS: 2, 3, 6, 7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will learn about careers in their community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will connect academic skills with careers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Poster paper and ma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As a class have students brainstorm careers in their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List them on the poster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Tell students you are going to take a closer look at these 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Divide the class into groups of 3-5 students and allow them to select two or three of the careers from the list they generated.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List on the board:  Math Skills, Reading Skills, Writing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List on the board:  No education after HS, special training after HS, Technical College, Bachelor’s degree, master’s degree and doctorate degree ( you will likely have to explain these to your students)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In their groups students will list the skills they feel a person in each career will need and what level of education is needed (they will write this on their poster paper).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When the posters are done, groups will share them with the class (you should discuss their answers)  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rtl w:val="0"/>
        </w:rPr>
        <w:t xml:space="preserve">Note:  all careers will use math, reading and writing skills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rtl w:val="0"/>
        </w:rPr>
        <w:t xml:space="preserve">(Optional: you can challenge students to find a career that doesn’t require math, reading or writing skills)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