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57" w:rsidRPr="00567FB6" w:rsidRDefault="009F55FC" w:rsidP="00CC0557">
      <w:pPr>
        <w:spacing w:after="0"/>
        <w:rPr>
          <w:b/>
        </w:rPr>
      </w:pPr>
      <w:r>
        <w:rPr>
          <w:b/>
          <w:sz w:val="36"/>
          <w:szCs w:val="36"/>
        </w:rPr>
        <w:t xml:space="preserve">Spring </w:t>
      </w:r>
      <w:bookmarkStart w:id="0" w:name="_GoBack"/>
      <w:bookmarkEnd w:id="0"/>
      <w:r w:rsidR="00CC0557" w:rsidRPr="00567FB6">
        <w:rPr>
          <w:b/>
          <w:sz w:val="36"/>
          <w:szCs w:val="36"/>
        </w:rPr>
        <w:t>2015 Employer Survey in South Dakota</w:t>
      </w:r>
    </w:p>
    <w:p w:rsidR="00CC0557" w:rsidRPr="00567FB6" w:rsidRDefault="00CC0557" w:rsidP="00CC0557">
      <w:pPr>
        <w:spacing w:after="0"/>
        <w:rPr>
          <w:i/>
        </w:rPr>
      </w:pPr>
      <w:r w:rsidRPr="00567FB6">
        <w:rPr>
          <w:i/>
        </w:rPr>
        <w:t>Highlights</w:t>
      </w:r>
      <w:r w:rsidR="00CD421E">
        <w:rPr>
          <w:i/>
        </w:rPr>
        <w:t xml:space="preserve"> of responses from a survey conducted throughout </w:t>
      </w:r>
      <w:r w:rsidR="009F55FC">
        <w:rPr>
          <w:i/>
        </w:rPr>
        <w:t>the state by various industries.</w:t>
      </w:r>
    </w:p>
    <w:p w:rsidR="00CC0557" w:rsidRDefault="00CC0557" w:rsidP="00CC0557">
      <w:pPr>
        <w:spacing w:after="0"/>
        <w:rPr>
          <w:rFonts w:ascii="Century Gothic" w:hAnsi="Century Gothic"/>
          <w:i/>
        </w:rPr>
      </w:pPr>
    </w:p>
    <w:p w:rsidR="00CC0557" w:rsidRDefault="00CC0557" w:rsidP="00CC0557">
      <w:pPr>
        <w:spacing w:after="0"/>
        <w:rPr>
          <w:rFonts w:ascii="Century Gothic" w:hAnsi="Century Gothic"/>
        </w:rPr>
      </w:pPr>
    </w:p>
    <w:p w:rsidR="00CC0557" w:rsidRPr="00B06E21" w:rsidRDefault="00CC0557" w:rsidP="00CC0557">
      <w:pPr>
        <w:spacing w:after="0"/>
        <w:ind w:left="-720"/>
        <w:rPr>
          <w:rFonts w:ascii="Century Gothic" w:hAnsi="Century Gothic"/>
          <w:color w:val="FFFFFF" w:themeColor="background1"/>
        </w:rPr>
      </w:pPr>
      <w:r w:rsidRPr="00B06E21">
        <w:rPr>
          <w:rFonts w:ascii="Century Gothic" w:hAnsi="Century Gothic"/>
          <w:noProof/>
        </w:rPr>
        <w:drawing>
          <wp:inline distT="0" distB="0" distL="0" distR="0" wp14:anchorId="0CB7BB85" wp14:editId="7FA18B8B">
            <wp:extent cx="6883400" cy="5994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180A" w:rsidRDefault="00CC0557" w:rsidP="00CC0557">
      <w:pPr>
        <w:ind w:left="-180"/>
      </w:pPr>
      <w:r w:rsidRPr="008561B1">
        <w:rPr>
          <w:rFonts w:ascii="Century Gothic" w:hAnsi="Century Gothic"/>
          <w:noProof/>
        </w:rPr>
        <w:lastRenderedPageBreak/>
        <w:drawing>
          <wp:inline distT="0" distB="0" distL="0" distR="0" wp14:anchorId="73735678" wp14:editId="2AC926EA">
            <wp:extent cx="6400800" cy="3230089"/>
            <wp:effectExtent l="0" t="0" r="0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561B1">
        <w:rPr>
          <w:rFonts w:ascii="Century Gothic" w:hAnsi="Century Gothic"/>
          <w:noProof/>
        </w:rPr>
        <w:drawing>
          <wp:inline distT="0" distB="0" distL="0" distR="0" wp14:anchorId="01E6B973" wp14:editId="0B652D79">
            <wp:extent cx="6400800" cy="3384467"/>
            <wp:effectExtent l="0" t="0" r="0" b="69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3180A" w:rsidSect="0019580D">
      <w:headerReference w:type="even" r:id="rId10"/>
      <w:headerReference w:type="default" r:id="rId11"/>
      <w:headerReference w:type="firs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80" w:rsidRDefault="00C22E80" w:rsidP="00C462CA">
      <w:pPr>
        <w:spacing w:after="0" w:line="240" w:lineRule="auto"/>
      </w:pPr>
      <w:r>
        <w:separator/>
      </w:r>
    </w:p>
  </w:endnote>
  <w:endnote w:type="continuationSeparator" w:id="0">
    <w:p w:rsidR="00C22E80" w:rsidRDefault="00C22E80" w:rsidP="00C4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80" w:rsidRDefault="00C22E80" w:rsidP="00C462CA">
      <w:pPr>
        <w:spacing w:after="0" w:line="240" w:lineRule="auto"/>
      </w:pPr>
      <w:r>
        <w:separator/>
      </w:r>
    </w:p>
  </w:footnote>
  <w:footnote w:type="continuationSeparator" w:id="0">
    <w:p w:rsidR="00C22E80" w:rsidRDefault="00C22E80" w:rsidP="00C4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CA" w:rsidRDefault="00C22E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09671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TE_Letterhead_No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0D" w:rsidRDefault="00C22E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096715" o:spid="_x0000_s2051" type="#_x0000_t75" style="position:absolute;margin-left:-1in;margin-top:-106pt;width:612pt;height:11in;z-index:-251656192;mso-position-horizontal-relative:margin;mso-position-vertical-relative:margin" o:allowincell="f">
          <v:imagedata r:id="rId1" o:title="CTE_Letterhead_NoText"/>
          <w10:wrap anchorx="margin" anchory="margin"/>
        </v:shape>
      </w:pict>
    </w:r>
  </w:p>
  <w:p w:rsidR="00C462CA" w:rsidRDefault="00C46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CA" w:rsidRDefault="00C22E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09671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TE_Letterhead_NoTex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57"/>
    <w:rsid w:val="0019580D"/>
    <w:rsid w:val="001A4869"/>
    <w:rsid w:val="0049079D"/>
    <w:rsid w:val="008D11CC"/>
    <w:rsid w:val="009F55FC"/>
    <w:rsid w:val="00B3180A"/>
    <w:rsid w:val="00C22E80"/>
    <w:rsid w:val="00C462CA"/>
    <w:rsid w:val="00CC0557"/>
    <w:rsid w:val="00C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2CA"/>
  </w:style>
  <w:style w:type="paragraph" w:styleId="Footer">
    <w:name w:val="footer"/>
    <w:basedOn w:val="Normal"/>
    <w:link w:val="FooterChar"/>
    <w:uiPriority w:val="99"/>
    <w:unhideWhenUsed/>
    <w:rsid w:val="00C4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2CA"/>
  </w:style>
  <w:style w:type="paragraph" w:styleId="BalloonText">
    <w:name w:val="Balloon Text"/>
    <w:basedOn w:val="Normal"/>
    <w:link w:val="BalloonTextChar"/>
    <w:uiPriority w:val="99"/>
    <w:semiHidden/>
    <w:unhideWhenUsed/>
    <w:rsid w:val="0019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2CA"/>
  </w:style>
  <w:style w:type="paragraph" w:styleId="Footer">
    <w:name w:val="footer"/>
    <w:basedOn w:val="Normal"/>
    <w:link w:val="FooterChar"/>
    <w:uiPriority w:val="99"/>
    <w:unhideWhenUsed/>
    <w:rsid w:val="00C4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2CA"/>
  </w:style>
  <w:style w:type="paragraph" w:styleId="BalloonText">
    <w:name w:val="Balloon Text"/>
    <w:basedOn w:val="Normal"/>
    <w:link w:val="BalloonTextChar"/>
    <w:uiPriority w:val="99"/>
    <w:semiHidden/>
    <w:unhideWhenUsed/>
    <w:rsid w:val="0019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CTE\CTE\Communication\Epicosity%20Materials%202014\CTE%20Template-No%20Footer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SPR1FS16\DEPR1$\DCTE\Director\Presentations%20on%20SD%20CTE\2015%20SD%20Retailers%20Board%20Meeting\South%20Dakota%20Employer%20Survey%20Summary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SPR1FS16\DEPR1$\DCTE\Director\Presentations%20on%20SD%20CTE\2015%20SD%20Retailers%20Board%20Meeting\South%20Dakota%20Employer%20Survey%20Summary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SPR1FS16\DEPR1$\DCTE\Director\Presentations%20on%20SD%20CTE\2015%20SD%20Retailers%20Board%20Meeting\South%20Dakota%20Employer%20Survey%20Summar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Which industry sector is your primary service area?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Gill Sans MT" panose="020B0502020104020203" pitchFamily="34" charset="0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Gill Sans MT" panose="020B0502020104020203" pitchFamily="34" charset="0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Gill Sans MT" panose="020B0502020104020203" pitchFamily="34" charset="0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Gill Sans MT" panose="020B0502020104020203" pitchFamily="34" charset="0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Gill Sans MT" panose="020B0502020104020203" pitchFamily="34" charset="0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tx>
                <c:rich>
                  <a:bodyPr/>
                  <a:lstStyle/>
                  <a:p>
                    <a:pPr>
                      <a:defRPr sz="1200" b="1">
                        <a:solidFill>
                          <a:schemeClr val="bg1"/>
                        </a:solidFill>
                        <a:latin typeface="Gill Sans MT" panose="020B0502020104020203" pitchFamily="34" charset="0"/>
                      </a:defRPr>
                    </a:pPr>
                    <a:r>
                      <a:rPr lang="en-US" b="1">
                        <a:solidFill>
                          <a:schemeClr val="bg1"/>
                        </a:solidFill>
                      </a:rPr>
                      <a:t>Manufacturing
11%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Gill Sans MT" panose="020B0502020104020203" pitchFamily="34" charset="0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-6.9215358689019957E-2"/>
                  <c:y val="9.05863806219137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Gill Sans MT" panose="020B0502020104020203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'Question 1'!$A$4:$B$19</c:f>
              <c:strCache>
                <c:ptCount val="16"/>
                <c:pt idx="0">
                  <c:v>Agriculture, Food &amp; Natural Resources</c:v>
                </c:pt>
                <c:pt idx="1">
                  <c:v>Architecture &amp; Construction</c:v>
                </c:pt>
                <c:pt idx="2">
                  <c:v>Arts, Audio/Video Technology &amp; Communications</c:v>
                </c:pt>
                <c:pt idx="3">
                  <c:v>Business Management &amp; Administration</c:v>
                </c:pt>
                <c:pt idx="4">
                  <c:v>Education &amp; Training</c:v>
                </c:pt>
                <c:pt idx="5">
                  <c:v>Finance</c:v>
                </c:pt>
                <c:pt idx="6">
                  <c:v>Government &amp; Public Administration</c:v>
                </c:pt>
                <c:pt idx="7">
                  <c:v>Health</c:v>
                </c:pt>
                <c:pt idx="8">
                  <c:v>Hospitality &amp; Tourism</c:v>
                </c:pt>
                <c:pt idx="9">
                  <c:v>Human Services</c:v>
                </c:pt>
                <c:pt idx="10">
                  <c:v>Information Technology</c:v>
                </c:pt>
                <c:pt idx="11">
                  <c:v>Law, Public Safety, Corrections &amp; Security</c:v>
                </c:pt>
                <c:pt idx="12">
                  <c:v>Manufacturing</c:v>
                </c:pt>
                <c:pt idx="13">
                  <c:v>Marketing</c:v>
                </c:pt>
                <c:pt idx="14">
                  <c:v>Science, Technology, Engineering &amp; Mathematics</c:v>
                </c:pt>
                <c:pt idx="15">
                  <c:v>Transportation, Distribution &amp; Logistics</c:v>
                </c:pt>
              </c:strCache>
            </c:strRef>
          </c:cat>
          <c:val>
            <c:numRef>
              <c:f>'Question 1'!$C$4:$C$19</c:f>
              <c:numCache>
                <c:formatCode>0.0%</c:formatCode>
                <c:ptCount val="16"/>
                <c:pt idx="0">
                  <c:v>9.4E-2</c:v>
                </c:pt>
                <c:pt idx="1">
                  <c:v>0.14099999999999999</c:v>
                </c:pt>
                <c:pt idx="2">
                  <c:v>1.3000000000000001E-2</c:v>
                </c:pt>
                <c:pt idx="3">
                  <c:v>5.4000000000000006E-2</c:v>
                </c:pt>
                <c:pt idx="4">
                  <c:v>3.4000000000000002E-2</c:v>
                </c:pt>
                <c:pt idx="5">
                  <c:v>6.7000000000000004E-2</c:v>
                </c:pt>
                <c:pt idx="6">
                  <c:v>6.9999999999999993E-3</c:v>
                </c:pt>
                <c:pt idx="7">
                  <c:v>5.4000000000000006E-2</c:v>
                </c:pt>
                <c:pt idx="8">
                  <c:v>0.20800000000000002</c:v>
                </c:pt>
                <c:pt idx="9">
                  <c:v>3.4000000000000002E-2</c:v>
                </c:pt>
                <c:pt idx="10">
                  <c:v>0.02</c:v>
                </c:pt>
                <c:pt idx="11">
                  <c:v>0.02</c:v>
                </c:pt>
                <c:pt idx="12">
                  <c:v>0.107</c:v>
                </c:pt>
                <c:pt idx="13">
                  <c:v>0.06</c:v>
                </c:pt>
                <c:pt idx="14">
                  <c:v>0.02</c:v>
                </c:pt>
                <c:pt idx="15">
                  <c:v>6.7000000000000004E-2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Do you find applicants are lacking in any of the following soft skills?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'Question 5'!$B$4:$B$17</c:f>
              <c:strCache>
                <c:ptCount val="14"/>
                <c:pt idx="0">
                  <c:v>Attendance Record/Dependability</c:v>
                </c:pt>
                <c:pt idx="1">
                  <c:v>Communication Skills</c:v>
                </c:pt>
                <c:pt idx="2">
                  <c:v>Critical or Analytical Thinking</c:v>
                </c:pt>
                <c:pt idx="3">
                  <c:v>Customer Service</c:v>
                </c:pt>
                <c:pt idx="4">
                  <c:v>Decision Making Skills</c:v>
                </c:pt>
                <c:pt idx="5">
                  <c:v>Initiative</c:v>
                </c:pt>
                <c:pt idx="6">
                  <c:v>Interpersonal Skills</c:v>
                </c:pt>
                <c:pt idx="7">
                  <c:v>Leadership/Managerial Potential</c:v>
                </c:pt>
                <c:pt idx="8">
                  <c:v>Persistence</c:v>
                </c:pt>
                <c:pt idx="9">
                  <c:v>Problem Solving</c:v>
                </c:pt>
                <c:pt idx="10">
                  <c:v>Reading/Math</c:v>
                </c:pt>
                <c:pt idx="11">
                  <c:v>Using Information</c:v>
                </c:pt>
                <c:pt idx="12">
                  <c:v>Teamwork</c:v>
                </c:pt>
                <c:pt idx="13">
                  <c:v>Writing</c:v>
                </c:pt>
              </c:strCache>
            </c:strRef>
          </c:cat>
          <c:val>
            <c:numRef>
              <c:f>'Question 5'!$C$4:$C$17</c:f>
              <c:numCache>
                <c:formatCode>0.0%</c:formatCode>
                <c:ptCount val="14"/>
                <c:pt idx="0">
                  <c:v>0.63600000000000001</c:v>
                </c:pt>
                <c:pt idx="1">
                  <c:v>0.56399999999999995</c:v>
                </c:pt>
                <c:pt idx="2">
                  <c:v>0.379</c:v>
                </c:pt>
                <c:pt idx="3">
                  <c:v>0.5</c:v>
                </c:pt>
                <c:pt idx="4">
                  <c:v>0.34299999999999997</c:v>
                </c:pt>
                <c:pt idx="5">
                  <c:v>0.64300000000000002</c:v>
                </c:pt>
                <c:pt idx="6">
                  <c:v>0.35700000000000004</c:v>
                </c:pt>
                <c:pt idx="7">
                  <c:v>0.32100000000000001</c:v>
                </c:pt>
                <c:pt idx="8">
                  <c:v>0.23600000000000002</c:v>
                </c:pt>
                <c:pt idx="9">
                  <c:v>0.41399999999999998</c:v>
                </c:pt>
                <c:pt idx="10">
                  <c:v>0.23600000000000002</c:v>
                </c:pt>
                <c:pt idx="11">
                  <c:v>0.17100000000000001</c:v>
                </c:pt>
                <c:pt idx="12">
                  <c:v>0.29299999999999998</c:v>
                </c:pt>
                <c:pt idx="13">
                  <c:v>0.307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2160128"/>
        <c:axId val="112198784"/>
      </c:barChart>
      <c:catAx>
        <c:axId val="112160128"/>
        <c:scaling>
          <c:orientation val="minMax"/>
        </c:scaling>
        <c:delete val="0"/>
        <c:axPos val="l"/>
        <c:majorTickMark val="none"/>
        <c:minorTickMark val="none"/>
        <c:tickLblPos val="nextTo"/>
        <c:crossAx val="112198784"/>
        <c:crosses val="autoZero"/>
        <c:auto val="1"/>
        <c:lblAlgn val="ctr"/>
        <c:lblOffset val="100"/>
        <c:noMultiLvlLbl val="0"/>
      </c:catAx>
      <c:valAx>
        <c:axId val="11219878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12160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 which general skill areas will your employees need more training or qualifications over the next 3 years?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'Question 6'!$B$4:$B$15</c:f>
              <c:strCache>
                <c:ptCount val="12"/>
                <c:pt idx="0">
                  <c:v>Attendance/Timeliness/Work Ethic</c:v>
                </c:pt>
                <c:pt idx="1">
                  <c:v>Computer Skills</c:v>
                </c:pt>
                <c:pt idx="2">
                  <c:v>Creativity or Imagination</c:v>
                </c:pt>
                <c:pt idx="3">
                  <c:v>Customer Service</c:v>
                </c:pt>
                <c:pt idx="4">
                  <c:v>English Language Proficiency</c:v>
                </c:pt>
                <c:pt idx="5">
                  <c:v>Mathematics</c:v>
                </c:pt>
                <c:pt idx="6">
                  <c:v>Problem-Solving</c:v>
                </c:pt>
                <c:pt idx="7">
                  <c:v>Process Improvement</c:v>
                </c:pt>
                <c:pt idx="8">
                  <c:v>Reading/Writing/Communication</c:v>
                </c:pt>
                <c:pt idx="9">
                  <c:v>Reading Diagrams, Charts, Prints</c:v>
                </c:pt>
                <c:pt idx="10">
                  <c:v>Supervisory/Managerial Skills</c:v>
                </c:pt>
                <c:pt idx="11">
                  <c:v>Teamwork</c:v>
                </c:pt>
              </c:strCache>
            </c:strRef>
          </c:cat>
          <c:val>
            <c:numRef>
              <c:f>'Question 6'!$C$4:$C$15</c:f>
              <c:numCache>
                <c:formatCode>0.0%</c:formatCode>
                <c:ptCount val="12"/>
                <c:pt idx="0">
                  <c:v>0.748</c:v>
                </c:pt>
                <c:pt idx="1">
                  <c:v>0.20300000000000001</c:v>
                </c:pt>
                <c:pt idx="2">
                  <c:v>0.161</c:v>
                </c:pt>
                <c:pt idx="3">
                  <c:v>0.58700000000000008</c:v>
                </c:pt>
                <c:pt idx="4">
                  <c:v>0.11199999999999999</c:v>
                </c:pt>
                <c:pt idx="5">
                  <c:v>0.161</c:v>
                </c:pt>
                <c:pt idx="6">
                  <c:v>0.53100000000000003</c:v>
                </c:pt>
                <c:pt idx="7">
                  <c:v>0.30099999999999999</c:v>
                </c:pt>
                <c:pt idx="8">
                  <c:v>0.308</c:v>
                </c:pt>
                <c:pt idx="9">
                  <c:v>0.126</c:v>
                </c:pt>
                <c:pt idx="10">
                  <c:v>0.315</c:v>
                </c:pt>
                <c:pt idx="11">
                  <c:v>0.42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694144"/>
        <c:axId val="131827200"/>
      </c:barChart>
      <c:catAx>
        <c:axId val="130694144"/>
        <c:scaling>
          <c:orientation val="minMax"/>
        </c:scaling>
        <c:delete val="0"/>
        <c:axPos val="l"/>
        <c:majorTickMark val="none"/>
        <c:minorTickMark val="none"/>
        <c:tickLblPos val="nextTo"/>
        <c:crossAx val="131827200"/>
        <c:crosses val="autoZero"/>
        <c:auto val="1"/>
        <c:lblAlgn val="ctr"/>
        <c:lblOffset val="100"/>
        <c:noMultiLvlLbl val="0"/>
      </c:catAx>
      <c:valAx>
        <c:axId val="13182720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30694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CTE Template-No Footer.dotx</Template>
  <TotalTime>174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Husker</dc:creator>
  <cp:lastModifiedBy>Husker</cp:lastModifiedBy>
  <cp:revision>4</cp:revision>
  <cp:lastPrinted>2015-10-19T20:04:00Z</cp:lastPrinted>
  <dcterms:created xsi:type="dcterms:W3CDTF">2015-10-19T17:01:00Z</dcterms:created>
  <dcterms:modified xsi:type="dcterms:W3CDTF">2015-10-19T20:06:00Z</dcterms:modified>
</cp:coreProperties>
</file>